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Town of Prattsville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Special Meeting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23, 2024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The Town Board of the Town of Prattsville, NY and County of Greene, NY held a Special Meeting at the Prattsville Town Hall on Thursday, May 23, 202 at 6:00pm.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Present: </w:t>
        <w:tab/>
        <w:t xml:space="preserve">Greg Cross </w:t>
        <w:tab/>
        <w:tab/>
        <w:tab/>
        <w:tab/>
        <w:tab/>
        <w:tab/>
        <w:t>Supervisor</w:t>
        <w:tab/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Joyce Peckham</w:t>
        <w:tab/>
        <w:tab/>
        <w:tab/>
        <w:tab/>
        <w:tab/>
        <w:t>Councilperson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ab/>
        <w:tab/>
        <w:t>Eli Martin</w:t>
        <w:tab/>
        <w:tab/>
        <w:tab/>
        <w:tab/>
        <w:tab/>
        <w:tab/>
        <w:t>Councilman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>Mason Chase</w:t>
        <w:tab/>
        <w:tab/>
        <w:tab/>
        <w:tab/>
        <w:tab/>
        <w:tab/>
        <w:t>Councilman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>Heidi Ruehlmann</w:t>
        <w:tab/>
        <w:tab/>
        <w:tab/>
        <w:tab/>
        <w:tab/>
        <w:t>Councilperson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>Bill Sutton</w:t>
        <w:tab/>
        <w:tab/>
        <w:tab/>
        <w:tab/>
        <w:tab/>
        <w:tab/>
        <w:t>Highway Superintendent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ab/>
        <w:tab/>
        <w:t>Theresa Whitworth</w:t>
        <w:tab/>
        <w:tab/>
        <w:tab/>
        <w:tab/>
        <w:tab/>
        <w:t>Town Clerk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Others Present: Connie Briggs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purpose for the meeting was to discuss bids for paving the Town roads and anything else that may come before the Board.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 Bids for paving – received 5 bids,  </w:t>
        <w:tab/>
        <w:tab/>
        <w:tab/>
        <w:tab/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Peckham Road Corp --$164,564.00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Commercial Paving Company – $214,535.50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KCK Paving – $149,861.50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A. Colarusso – $196,145.00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Cobleskill Stone – $145,164.89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Supervisor Cross and seconded by Councilman Martin to accept the bid from Cobleskill Stone for $145,164.89.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Ayes 4</w:t>
        <w:tab/>
        <w:tab/>
        <w:tab/>
        <w:t>Cross, Peckham, Martin, Ruehlmann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Abstained 1</w:t>
        <w:tab/>
        <w:tab/>
        <w:t>Chase  (due to conflict)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2.  RICOH copier/printer upgrade – a quote was received for the last billing for the current copier of $1136.03 to purchase the copier.  There was an estimate of $128.15 per month to lease another printer plus extras.  The Office has several dollars worth of ink cartridges that would not fit a new printer.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 motion was made by Councilperson Ruehlmann and seconded by Councilman Martin to approve of buying outright the Copier/Printer that we now have for the amount of $1136.03.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Ayes 5</w:t>
        <w:tab/>
        <w:tab/>
        <w:tab/>
        <w:t>Cross, Peckham, Martin, Chase, Ruehlmann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3.  PW1 –the Department of Health says that well #1needs $2386.80 worth of tests to be able to just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turn on and use.  Can this amount be included into the project Grant, Supervisor Cross is going to check with Mike Harrington.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4.  Conine Field tank situation – Supervisor Cross will check with Mike Harrington to see if the quoted amount of $2386.80 from Adirondack Environmental Services could also be included in the project.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Special Meeting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May 23, 2024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Page 2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5.  Easements purchase from John Young –A motion was made by Councilperson Peckham and seconded by Councilman Chase to pay John Young at closing the amount of $35,000 for the acquisitions and easements pertaining to PW1 the well head protection.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Ayes 5</w:t>
        <w:tab/>
        <w:tab/>
        <w:tab/>
        <w:t>Cross, Peckham, Martin, Chase, Ruehlmann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RESOLUTION #2-2024  AUTHORIZING SUPERVISOR TO EXECUTE AN AGREEMENT TO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PURCHASE CERTAIN REAL PROPERTY AND EASEMENTS FOR THE TOWN OF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PRATTSVILLE WATER IMPROVEMENT PROJECT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the Town of Prattsville (“Town”) is undertaking a project to improve its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public water system, including upgrades to treat its existing supply well (PW-2), upgrades to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improve and treat a second existing well (PW-1) to meet applicable source redundancy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requirements, construction of a new well treatment building and construction of miscellaneous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repairs in the distribution system. (“Project”); 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the design and construction of the proposed Project will be performed in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conformance with New York State Department of Health (“DOH”) regulations relative to source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redundancy requirements. Regulatory review and approval will be obtained prior to the initiation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of construction; 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the Town of Prattsville Town Board (the “Board”) has reviewed 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considered the plans and schematics for the Project, as reflected in the Preliminary Engineer’s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Report Water System Improvements Project, Prattsville Water District, Greene County, New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York, dated February 15, 2017, prepared by Lamont Engineers, and the results of subsequent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groundwater explorations which resulted in a recommendation from the Project Engineer that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existing well PW-1 be upgraded as part of the Project; 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in order to proceed with permitting and construction of this project, the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Town must acquire certain property and easements; 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the Town’s Special Counsel has negotiated an agreement for the purchase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of the necessary property rights from three (3) properties (a copy of the proposed agreement is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incorporated by reference herein); 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the Town’s Special Counsel has provided a copy of the proposed agreement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to the New York State Environmental Facilities Corporation (NYSEFC) which is administering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funding for the Project; and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WHEREAS, it is in the interest of the Town to proceed with the subject acquisitions.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NOW THEREFORE, BE IT RESOLVED AS FOLLOWS BY THE TOWN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BOARD OF PRATTSVILLE, GREENE COUNTY, NEW YORK: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The Town Supervisor is authorized to execute, on behalf of the Town, an agreement to</w:t>
      </w:r>
    </w:p>
    <w:p>
      <w:pPr>
        <w:pStyle w:val="TextBody"/>
        <w:bidi w:val="0"/>
        <w:jc w:val="left"/>
        <w:rPr>
          <w:sz w:val="24"/>
          <w:szCs w:val="24"/>
        </w:rPr>
      </w:pPr>
      <w:r>
        <w:rPr/>
        <w:t>purchase the subject property rights subject to final approval by the Town’s Special Counsel.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WHEREUPON, the Resolution was put to a vote and recorded as follows: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Town Board Member </w:t>
      </w:r>
      <w:r>
        <w:rPr>
          <w:sz w:val="24"/>
          <w:szCs w:val="24"/>
          <w:u w:val="single"/>
        </w:rPr>
        <w:t>_Joyce_Peckham so</w:t>
      </w:r>
      <w:r>
        <w:rPr>
          <w:sz w:val="24"/>
          <w:szCs w:val="24"/>
        </w:rPr>
        <w:t xml:space="preserve"> moved; Town Board Member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_Mason_Chase</w:t>
      </w:r>
      <w:r>
        <w:rPr>
          <w:sz w:val="24"/>
          <w:szCs w:val="24"/>
        </w:rPr>
        <w:t xml:space="preserve"> Seconded, and the Town Board voted as follows: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Supervisor Cross –Yea                                       Councilperson Peckham---- Yea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Councilperson Ruehlmann--- Yea                      Councilperson Chase--- Yea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Councilman Martin --- Yea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Special Meeting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May 23, 2024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Page 3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 Resident Connie Briggs questioned about the water at Conine Ball Field </w:t>
      </w:r>
      <w:r>
        <w:rPr>
          <w:sz w:val="24"/>
          <w:szCs w:val="24"/>
        </w:rPr>
        <w:t xml:space="preserve">and what Bob Forte is supposed to do about having food at the Sunday ball games.  </w:t>
      </w:r>
      <w:r>
        <w:rPr>
          <w:sz w:val="24"/>
          <w:szCs w:val="24"/>
        </w:rPr>
        <w:t>Mr. Forte said he is going to sell drinks and packaged items.  He could use a food cart with permission from the Town but would still have to get a permit from the Department of Health.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 EZ Pass for Highway truck – </w:t>
      </w:r>
      <w:r>
        <w:rPr>
          <w:sz w:val="24"/>
          <w:szCs w:val="24"/>
        </w:rPr>
        <w:t>Supervisor Cross thought it is a good idea to have EZ pass for the Highways pickup truck and One Ton truck.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With no further business a motion was made by Councilperson Peckham and seconded </w:t>
      </w:r>
      <w:r>
        <w:rPr>
          <w:sz w:val="24"/>
          <w:szCs w:val="24"/>
        </w:rPr>
        <w:t xml:space="preserve">by Councilman Chase to adjourn the meeting at 6:32PM.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Ayes 5</w:t>
        <w:tab/>
        <w:tab/>
        <w:tab/>
        <w:t>Cross, Peckham, Martin, Chase, Ruehlmann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Nays 0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Theresa Whitworth/ Town Clerk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LibreOffice/6.4.0.3$Windows_X86_64 LibreOffice_project/b0a288ab3d2d4774cb44b62f04d5d28733ac6df8</Application>
  <Pages>3</Pages>
  <Words>890</Words>
  <Characters>4735</Characters>
  <CharactersWithSpaces>5692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2024-05-28T13:27:20Z</dcterms:created>
  <dc:creator/>
  <dc:description/>
  <dc:language>en-US</dc:language>
  <cp:lastModifiedBy/>
  <cp:lastPrinted>2024-05-28T14:32:25Z</cp:lastPrinted>
  <dcterms:modified xsi:type="dcterms:W3CDTF">2024-05-28T14:33:20Z</dcterms:modified>
  <cp:revision>2</cp:revision>
  <dc:subject/>
  <dc:title/>
</cp:coreProperties>
</file>